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83FBC" w14:textId="77777777" w:rsidR="00201C04" w:rsidRDefault="00066978">
      <w:pPr>
        <w:shd w:val="clear" w:color="auto" w:fill="FFFFFF"/>
        <w:rPr>
          <w:b/>
        </w:rPr>
      </w:pPr>
      <w:r>
        <w:rPr>
          <w:b/>
          <w:noProof/>
        </w:rPr>
        <w:drawing>
          <wp:anchor distT="0" distB="0" distL="0" distR="0" simplePos="0" relativeHeight="2" behindDoc="0" locked="0" layoutInCell="1" allowOverlap="1" wp14:anchorId="67D510F8" wp14:editId="73F8DEF2">
            <wp:simplePos x="0" y="0"/>
            <wp:positionH relativeFrom="column">
              <wp:posOffset>4158615</wp:posOffset>
            </wp:positionH>
            <wp:positionV relativeFrom="paragraph">
              <wp:posOffset>-337185</wp:posOffset>
            </wp:positionV>
            <wp:extent cx="1532890" cy="1113155"/>
            <wp:effectExtent l="0" t="0" r="0" b="0"/>
            <wp:wrapSquare wrapText="largest"/>
            <wp:docPr id="1"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2"/>
                    <pic:cNvPicPr>
                      <a:picLocks noChangeAspect="1" noChangeArrowheads="1"/>
                    </pic:cNvPicPr>
                  </pic:nvPicPr>
                  <pic:blipFill>
                    <a:blip r:embed="rId7"/>
                    <a:stretch>
                      <a:fillRect/>
                    </a:stretch>
                  </pic:blipFill>
                  <pic:spPr bwMode="auto">
                    <a:xfrm>
                      <a:off x="0" y="0"/>
                      <a:ext cx="1532890" cy="1113155"/>
                    </a:xfrm>
                    <a:prstGeom prst="rect">
                      <a:avLst/>
                    </a:prstGeom>
                  </pic:spPr>
                </pic:pic>
              </a:graphicData>
            </a:graphic>
          </wp:anchor>
        </w:drawing>
      </w:r>
    </w:p>
    <w:p w14:paraId="272D5C7C" w14:textId="2CD09D8B" w:rsidR="00410EBA" w:rsidRPr="00410EBA" w:rsidRDefault="00410EBA" w:rsidP="00410EBA">
      <w:pPr>
        <w:shd w:val="clear" w:color="auto" w:fill="FFFFFF"/>
        <w:rPr>
          <w:b/>
        </w:rPr>
      </w:pPr>
      <w:r>
        <w:rPr>
          <w:b/>
        </w:rPr>
        <w:t xml:space="preserve"> </w:t>
      </w:r>
      <w:r w:rsidRPr="00410EBA">
        <w:rPr>
          <w:b/>
          <w:noProof/>
        </w:rPr>
        <w:drawing>
          <wp:inline distT="0" distB="0" distL="0" distR="0" wp14:anchorId="57DBD2A8" wp14:editId="41F53403">
            <wp:extent cx="738554" cy="1040689"/>
            <wp:effectExtent l="0" t="0" r="4445" b="7620"/>
            <wp:docPr id="325796023"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4453" cy="1063092"/>
                    </a:xfrm>
                    <a:prstGeom prst="rect">
                      <a:avLst/>
                    </a:prstGeom>
                    <a:noFill/>
                    <a:ln>
                      <a:noFill/>
                    </a:ln>
                  </pic:spPr>
                </pic:pic>
              </a:graphicData>
            </a:graphic>
          </wp:inline>
        </w:drawing>
      </w:r>
    </w:p>
    <w:p w14:paraId="6411FEA3" w14:textId="1241D8A4" w:rsidR="00201C04" w:rsidRDefault="00201C04">
      <w:pPr>
        <w:shd w:val="clear" w:color="auto" w:fill="FFFFFF"/>
      </w:pPr>
    </w:p>
    <w:p w14:paraId="73F22C2C" w14:textId="77777777" w:rsidR="00201C04" w:rsidRDefault="00066978">
      <w:pPr>
        <w:shd w:val="clear" w:color="auto" w:fill="FFFFFF"/>
        <w:jc w:val="left"/>
      </w:pPr>
      <w:r>
        <w:rPr>
          <w:b/>
        </w:rPr>
        <w:t>COMUNE DI PRALORMO</w:t>
      </w:r>
      <w:r>
        <w:rPr>
          <w:b/>
        </w:rPr>
        <w:tab/>
      </w:r>
      <w:r>
        <w:rPr>
          <w:b/>
        </w:rPr>
        <w:tab/>
      </w:r>
      <w:r>
        <w:rPr>
          <w:b/>
        </w:rPr>
        <w:tab/>
      </w:r>
    </w:p>
    <w:p w14:paraId="2C95808F" w14:textId="77777777" w:rsidR="00201C04" w:rsidRDefault="00201C04">
      <w:pPr>
        <w:shd w:val="clear" w:color="auto" w:fill="FFFFFF"/>
        <w:jc w:val="center"/>
      </w:pPr>
    </w:p>
    <w:p w14:paraId="7E71A910" w14:textId="77777777" w:rsidR="00201C04" w:rsidRDefault="00201C04">
      <w:pPr>
        <w:shd w:val="clear" w:color="auto" w:fill="FFFFFF"/>
        <w:jc w:val="right"/>
      </w:pPr>
    </w:p>
    <w:p w14:paraId="696FD713" w14:textId="77777777" w:rsidR="00201C04" w:rsidRDefault="00066978">
      <w:pPr>
        <w:shd w:val="clear" w:color="auto" w:fill="FFFFFF"/>
        <w:jc w:val="center"/>
        <w:rPr>
          <w:b/>
        </w:rPr>
      </w:pPr>
      <w:r>
        <w:rPr>
          <w:b/>
        </w:rPr>
        <w:t>ACCORDO CONVENZIONALE ORGANIZZATIVO EX ART. 23 DEL C.C.N.L. 16.11.2022</w:t>
      </w:r>
    </w:p>
    <w:p w14:paraId="0DC17F6A" w14:textId="7B326CC5" w:rsidR="00201C04" w:rsidRDefault="00066978" w:rsidP="00066978">
      <w:pPr>
        <w:shd w:val="clear" w:color="auto" w:fill="FFFFFF"/>
        <w:jc w:val="center"/>
      </w:pPr>
      <w:r>
        <w:rPr>
          <w:b/>
        </w:rPr>
        <w:t xml:space="preserve">PER L’ASSEGNAZIONE IN UTILIZZO A TEMPO PARZIALE DI UN DIPENDENTE </w:t>
      </w:r>
    </w:p>
    <w:p w14:paraId="5341C353" w14:textId="77777777" w:rsidR="00201C04" w:rsidRDefault="00201C04">
      <w:pPr>
        <w:shd w:val="clear" w:color="auto" w:fill="FFFFFF"/>
      </w:pPr>
    </w:p>
    <w:p w14:paraId="1CEF3261" w14:textId="77777777" w:rsidR="00201C04" w:rsidRDefault="00201C04">
      <w:pPr>
        <w:shd w:val="clear" w:color="auto" w:fill="FFFFFF"/>
        <w:jc w:val="center"/>
      </w:pPr>
    </w:p>
    <w:p w14:paraId="1F6C63F2" w14:textId="77777777" w:rsidR="00201C04" w:rsidRDefault="00066978">
      <w:pPr>
        <w:shd w:val="clear" w:color="auto" w:fill="FFFFFF"/>
        <w:jc w:val="center"/>
      </w:pPr>
      <w:r>
        <w:t>TRA</w:t>
      </w:r>
    </w:p>
    <w:p w14:paraId="1C42F0F1" w14:textId="77777777" w:rsidR="00201C04" w:rsidRDefault="00201C04">
      <w:pPr>
        <w:shd w:val="clear" w:color="auto" w:fill="FFFFFF"/>
        <w:jc w:val="center"/>
      </w:pPr>
    </w:p>
    <w:p w14:paraId="4F21FF9A" w14:textId="1947A351" w:rsidR="00201C04" w:rsidRDefault="00066978">
      <w:pPr>
        <w:shd w:val="clear" w:color="auto" w:fill="FFFFFF"/>
      </w:pPr>
      <w:r>
        <w:t>il Comune di Pralormo, con sede a</w:t>
      </w:r>
      <w:r w:rsidR="00290AC4">
        <w:t xml:space="preserve"> Pralormo</w:t>
      </w:r>
      <w:r>
        <w:t xml:space="preserve"> </w:t>
      </w:r>
      <w:r w:rsidR="00290AC4">
        <w:t>(To</w:t>
      </w:r>
      <w:r>
        <w:t xml:space="preserve">), in </w:t>
      </w:r>
      <w:r w:rsidR="00290AC4">
        <w:t>Via Umberto Primo</w:t>
      </w:r>
      <w:r>
        <w:t xml:space="preserve">, n. </w:t>
      </w:r>
      <w:r w:rsidR="00290AC4">
        <w:t>16</w:t>
      </w:r>
      <w:r>
        <w:t>, rappresentato da</w:t>
      </w:r>
      <w:r w:rsidR="00290AC4">
        <w:t>l Sindaco Pro tempore Emma Burzio</w:t>
      </w:r>
    </w:p>
    <w:p w14:paraId="66579DAC" w14:textId="77777777" w:rsidR="00201C04" w:rsidRDefault="00201C04">
      <w:pPr>
        <w:jc w:val="left"/>
      </w:pPr>
    </w:p>
    <w:p w14:paraId="4A48AA72" w14:textId="77777777" w:rsidR="00201C04" w:rsidRDefault="00066978">
      <w:pPr>
        <w:jc w:val="center"/>
      </w:pPr>
      <w:r>
        <w:t>E</w:t>
      </w:r>
    </w:p>
    <w:p w14:paraId="60BFC4E2" w14:textId="77777777" w:rsidR="00201C04" w:rsidRDefault="00201C04">
      <w:pPr>
        <w:jc w:val="left"/>
      </w:pPr>
    </w:p>
    <w:p w14:paraId="37F0FA67" w14:textId="77777777" w:rsidR="00201C04" w:rsidRDefault="00066978">
      <w:r>
        <w:t>il Comune di Bra (CN), con sede in Piazza Caduti per la Libertà, 14, rappresentato dal Dirigente del Servizio Risorse Umane della Ripartizione Servizi Generali e Culturali dott. Fabrizio Rodano, autorizzato con deliberazione della Giunta Comunale n. 113 in data 24.06.2025, dichiarata immediatamente eseguibile,</w:t>
      </w:r>
    </w:p>
    <w:p w14:paraId="32C31544" w14:textId="77777777" w:rsidR="00201C04" w:rsidRDefault="00201C04">
      <w:pPr>
        <w:shd w:val="clear" w:color="auto" w:fill="FFFFFF"/>
      </w:pPr>
    </w:p>
    <w:p w14:paraId="01138F00" w14:textId="77777777" w:rsidR="00201C04" w:rsidRDefault="00066978">
      <w:pPr>
        <w:shd w:val="clear" w:color="auto" w:fill="FFFFFF"/>
        <w:jc w:val="center"/>
      </w:pPr>
      <w:r>
        <w:t>PREMESSO CHE:</w:t>
      </w:r>
    </w:p>
    <w:p w14:paraId="66619670" w14:textId="77777777" w:rsidR="00201C04" w:rsidRDefault="00201C04">
      <w:pPr>
        <w:shd w:val="clear" w:color="auto" w:fill="FFFFFF"/>
      </w:pPr>
    </w:p>
    <w:p w14:paraId="48D543AB" w14:textId="77777777" w:rsidR="00201C04" w:rsidRDefault="00066978">
      <w:pPr>
        <w:numPr>
          <w:ilvl w:val="0"/>
          <w:numId w:val="4"/>
        </w:numPr>
        <w:shd w:val="clear" w:color="auto" w:fill="FFFFFF"/>
        <w:tabs>
          <w:tab w:val="left" w:pos="480"/>
        </w:tabs>
      </w:pPr>
      <w:r>
        <w:t xml:space="preserve">   la legge quadro sull’ordinamento della Polizia Locale, </w:t>
      </w:r>
      <w:r>
        <w:rPr>
          <w:rFonts w:eastAsia="Arial Unicode MS"/>
        </w:rPr>
        <w:t>L</w:t>
      </w:r>
      <w:r>
        <w:t xml:space="preserve">egge </w:t>
      </w:r>
      <w:r>
        <w:rPr>
          <w:rFonts w:eastAsia="Arial Unicode MS"/>
        </w:rPr>
        <w:t>7</w:t>
      </w:r>
      <w:r>
        <w:t xml:space="preserve"> marzo 1986 n. 65, all’art. 4, primo comma, punto 4 lett. </w:t>
      </w:r>
      <w:r>
        <w:rPr>
          <w:rFonts w:eastAsia="Arial Unicode MS"/>
          <w:color w:val="000000"/>
        </w:rPr>
        <w:t xml:space="preserve">c) prevede che: </w:t>
      </w:r>
      <w:proofErr w:type="gramStart"/>
      <w:r>
        <w:rPr>
          <w:rFonts w:eastAsia="Arial Unicode MS"/>
          <w:color w:val="000000"/>
        </w:rPr>
        <w:t>“ l</w:t>
      </w:r>
      <w:r>
        <w:rPr>
          <w:rFonts w:eastAsia="Arial Unicode MS"/>
          <w:i/>
          <w:iCs/>
          <w:color w:val="000000"/>
        </w:rPr>
        <w:t>e</w:t>
      </w:r>
      <w:proofErr w:type="gramEnd"/>
      <w:r>
        <w:rPr>
          <w:rFonts w:eastAsia="Arial Unicode MS"/>
          <w:i/>
          <w:iCs/>
          <w:color w:val="000000"/>
        </w:rPr>
        <w:t xml:space="preserve"> missioni esterne per soccorso in caso di calamità e disastri, o per rinforzare altri Corpi e servizi in particolari occasioni stagionali o eccezionali, sono ammesse previa esistenza di appositi piani o di accordi tra le amministrazioni interessate, e di esse va data previa comunicazione al Prefetto</w:t>
      </w:r>
      <w:r>
        <w:rPr>
          <w:rFonts w:eastAsia="Arial Unicode MS"/>
          <w:color w:val="000000"/>
        </w:rPr>
        <w:t>”;</w:t>
      </w:r>
    </w:p>
    <w:p w14:paraId="3891DB87" w14:textId="77777777" w:rsidR="00201C04" w:rsidRDefault="00066978">
      <w:pPr>
        <w:numPr>
          <w:ilvl w:val="0"/>
          <w:numId w:val="4"/>
        </w:numPr>
        <w:shd w:val="clear" w:color="auto" w:fill="FFFFFF"/>
        <w:tabs>
          <w:tab w:val="left" w:pos="480"/>
        </w:tabs>
      </w:pPr>
      <w:r>
        <w:rPr>
          <w:rFonts w:eastAsia="Arial Unicode MS"/>
        </w:rPr>
        <w:t xml:space="preserve">  l’articolo 6 quinto comma della L.R. 30.12.87</w:t>
      </w:r>
      <w:proofErr w:type="gramStart"/>
      <w:r>
        <w:rPr>
          <w:rFonts w:eastAsia="Arial Unicode MS"/>
        </w:rPr>
        <w:t>,  dispone</w:t>
      </w:r>
      <w:proofErr w:type="gramEnd"/>
      <w:r>
        <w:rPr>
          <w:rFonts w:eastAsia="Arial Unicode MS"/>
        </w:rPr>
        <w:t xml:space="preserve"> che: “</w:t>
      </w:r>
      <w:r>
        <w:rPr>
          <w:rFonts w:eastAsia="Arial Unicode MS"/>
          <w:i/>
          <w:iCs/>
          <w:color w:val="000000"/>
        </w:rPr>
        <w:t>In conformità alle norme dei regolamenti organici di ciascun Ente il personale assegnato al servizio può essere distaccato o comandato temporaneamente a svolgere funzioni di Polizia locale sul territorio di un Ente locale diverso da quello di appartenenza nell'ambito delle proprie attribuzioni, dandone preventiva comunicazione al Prefetto competente per territorio</w:t>
      </w:r>
      <w:r>
        <w:rPr>
          <w:rFonts w:eastAsia="Arial Unicode MS"/>
          <w:color w:val="000000"/>
        </w:rPr>
        <w:t>”;</w:t>
      </w:r>
      <w:r>
        <w:rPr>
          <w:rFonts w:eastAsia="Arial Unicode MS"/>
        </w:rPr>
        <w:t xml:space="preserve"> </w:t>
      </w:r>
    </w:p>
    <w:p w14:paraId="4E9F8CCE" w14:textId="77777777" w:rsidR="00201C04" w:rsidRDefault="00066978">
      <w:pPr>
        <w:numPr>
          <w:ilvl w:val="0"/>
          <w:numId w:val="4"/>
        </w:numPr>
        <w:shd w:val="clear" w:color="auto" w:fill="FFFFFF"/>
        <w:tabs>
          <w:tab w:val="left" w:pos="480"/>
        </w:tabs>
      </w:pPr>
      <w:r>
        <w:rPr>
          <w:rFonts w:eastAsia="Arial Unicode MS"/>
        </w:rPr>
        <w:t xml:space="preserve">  l’articolo 37 del Regolamento comunale del Corpo di Polizia Municipale di Bra, approvato con deliberazione C.C.  n. 39 del 1999, rubricato “Missioni esterne”, prevede che “</w:t>
      </w:r>
      <w:r>
        <w:rPr>
          <w:rFonts w:eastAsia="Arial Unicode MS"/>
          <w:i/>
          <w:iCs/>
        </w:rPr>
        <w:t>il personale del corpo di polizia municipale può essere inviato in missione esterna al territorio comunale, per soccorso in caso di calamità o disastri, o per rinforzare corpi o servizi di altri comuni, in particolari occasioni stagionali od eccezionali. In tali casi l’Amministrazione, sentito il Comandante del Corpo, provvede a formulare, d’intesa con i Comuni od Amministrazioni interessate, appositi piani ed accordi, anche ai fini dell’eventuale rimborso dei costi e delle spese. Le missioni esterne di cui al comma precedente sono preventivamente comunicate al Prefetto</w:t>
      </w:r>
      <w:r>
        <w:rPr>
          <w:rFonts w:eastAsia="Arial Unicode MS"/>
        </w:rPr>
        <w:t xml:space="preserve">”; </w:t>
      </w:r>
    </w:p>
    <w:p w14:paraId="59E98E9B" w14:textId="77777777" w:rsidR="00201C04" w:rsidRDefault="00066978">
      <w:pPr>
        <w:numPr>
          <w:ilvl w:val="0"/>
          <w:numId w:val="4"/>
        </w:numPr>
        <w:shd w:val="clear" w:color="auto" w:fill="FFFFFF"/>
      </w:pPr>
      <w:r>
        <w:t>l’articolo 23 del CCNL dei dipendenti delle Funzioni Locali del 16.11.2022</w:t>
      </w:r>
      <w:proofErr w:type="gramStart"/>
      <w:r>
        <w:t>,  prevede</w:t>
      </w:r>
      <w:proofErr w:type="gramEnd"/>
      <w:r>
        <w:t xml:space="preserve"> che: “</w:t>
      </w:r>
      <w:r>
        <w:rPr>
          <w:i/>
          <w:iCs/>
        </w:rPr>
        <w:t>1. Al fine di soddisfare la migliore realizzazione dei servizi istituzionali e di conseguire una economica gestione delle risorse, gli enti possono utilizzare, con il consenso dei lavoratori interessati, personale assegnato da altri enti cui si applica il presente CCNL per periodi predeterminati e per una parte del tempo di lavoro d’obbligo, mediante convenzione. La convenzione definisce, tra l’altro, il tempo di lavoro in assegnazione, nel rispetto del vincolo dell’orario settimanale d’obbligo, la ripartizione degli oneri finanziari e tutti gli altri aspetti utili per regolare il corretto utilizzo del lavoratore. La utilizzazione parziale, che non si configura come rapporto di lavoro a tempo parziale, è possibile anche per la gestione dei servizi in convenzione</w:t>
      </w:r>
      <w:proofErr w:type="gramStart"/>
      <w:r>
        <w:rPr>
          <w:i/>
          <w:iCs/>
        </w:rPr>
        <w:t>.“</w:t>
      </w:r>
      <w:proofErr w:type="gramEnd"/>
      <w:r>
        <w:rPr>
          <w:rFonts w:ascii="TimesNewRomanPSMT" w:hAnsi="TimesNewRomanPSMT"/>
          <w:i/>
          <w:iCs/>
        </w:rPr>
        <w:t>.</w:t>
      </w:r>
    </w:p>
    <w:p w14:paraId="7010ACFE" w14:textId="77777777" w:rsidR="00201C04" w:rsidRDefault="00066978">
      <w:pPr>
        <w:numPr>
          <w:ilvl w:val="0"/>
          <w:numId w:val="4"/>
        </w:numPr>
        <w:shd w:val="clear" w:color="auto" w:fill="FFFFFF"/>
      </w:pPr>
      <w:r>
        <w:lastRenderedPageBreak/>
        <w:t xml:space="preserve">Con deliberazione G.C.  n. 113 del 24.06.2025 </w:t>
      </w:r>
      <w:r>
        <w:rPr>
          <w:color w:val="000000"/>
        </w:rPr>
        <w:t xml:space="preserve">l’Amministrazione Comunale ha disposto,  in occasione della manifestazione internazionale “CHEESE”, in programma a Bra venerdì 19, sabato 20, domenica 21 e lunedì </w:t>
      </w:r>
      <w:r>
        <w:rPr>
          <w:rFonts w:eastAsia="Arial Unicode MS"/>
          <w:color w:val="000000"/>
        </w:rPr>
        <w:t>22</w:t>
      </w:r>
      <w:r>
        <w:rPr>
          <w:color w:val="000000"/>
        </w:rPr>
        <w:t xml:space="preserve"> settembre  202</w:t>
      </w:r>
      <w:r>
        <w:rPr>
          <w:rFonts w:eastAsia="Arial Unicode MS"/>
          <w:color w:val="000000"/>
        </w:rPr>
        <w:t>5</w:t>
      </w:r>
      <w:r>
        <w:rPr>
          <w:color w:val="000000"/>
        </w:rPr>
        <w:t>, di ricorrere a</w:t>
      </w:r>
      <w:r>
        <w:rPr>
          <w:rFonts w:eastAsia="Arial Unicode MS"/>
          <w:color w:val="000000"/>
        </w:rPr>
        <w:t xml:space="preserve"> prestazioni lavorative in “missione esterna”, secondo le vigenti disposizioni normative sopra citate, </w:t>
      </w:r>
      <w:r>
        <w:rPr>
          <w:color w:val="000000"/>
        </w:rPr>
        <w:t xml:space="preserve">di operatori di polizia locale provenienti da altri </w:t>
      </w:r>
      <w:r>
        <w:rPr>
          <w:rFonts w:eastAsia="Arial Unicode MS"/>
          <w:color w:val="000000"/>
        </w:rPr>
        <w:t>enti</w:t>
      </w:r>
      <w:r>
        <w:rPr>
          <w:color w:val="000000"/>
        </w:rPr>
        <w:t>, al fine di rinforzare l’organico del Comando di Polizia Locale del Comune di Bra, approvando lo schema del presente accordo;</w:t>
      </w:r>
    </w:p>
    <w:p w14:paraId="4AC98090" w14:textId="34218C69" w:rsidR="00201C04" w:rsidRDefault="00066978">
      <w:pPr>
        <w:numPr>
          <w:ilvl w:val="0"/>
          <w:numId w:val="4"/>
        </w:numPr>
        <w:shd w:val="clear" w:color="auto" w:fill="FFFFFF"/>
      </w:pPr>
      <w:r>
        <w:t>Con nota in data</w:t>
      </w:r>
      <w:r w:rsidR="00290AC4">
        <w:t xml:space="preserve"> 09/07/2025</w:t>
      </w:r>
      <w:r>
        <w:t xml:space="preserve">, prot. n. </w:t>
      </w:r>
      <w:r w:rsidR="00290AC4">
        <w:t>3081</w:t>
      </w:r>
      <w:r>
        <w:t>, il Comune di Bra ha richiesto al Comune di Pralormo di potersi avvalere temporaneamente, in occasione della manifestazione “Cheese 2025”, nelle giorn</w:t>
      </w:r>
      <w:r>
        <w:rPr>
          <w:color w:val="000000"/>
        </w:rPr>
        <w:t>ate da venerdì 19 settembre 2025 fino a lunedì 22 settembre 2025, delle prestazioni lavorative del suo Agente di Polizia Locale Cucco Franca secondo modalità e orari da concordarsi fra i due Comandi di Polizia Locale;</w:t>
      </w:r>
    </w:p>
    <w:p w14:paraId="2F55EA8E" w14:textId="77777777" w:rsidR="00201C04" w:rsidRDefault="00066978">
      <w:pPr>
        <w:numPr>
          <w:ilvl w:val="0"/>
          <w:numId w:val="4"/>
        </w:numPr>
        <w:shd w:val="clear" w:color="auto" w:fill="FFFFFF"/>
      </w:pPr>
      <w:r>
        <w:t>La sopra indicat</w:t>
      </w:r>
      <w:r>
        <w:rPr>
          <w:color w:val="000000"/>
        </w:rPr>
        <w:t>a</w:t>
      </w:r>
      <w:r>
        <w:t xml:space="preserve"> unità di personale, interpellata in merito, ha già espresso il proprio consenso scritto a quanto di seguito previsto.</w:t>
      </w:r>
    </w:p>
    <w:p w14:paraId="0E14260D" w14:textId="77777777" w:rsidR="00201C04" w:rsidRDefault="00201C04">
      <w:pPr>
        <w:shd w:val="clear" w:color="auto" w:fill="FFFFFF"/>
        <w:rPr>
          <w:highlight w:val="yellow"/>
        </w:rPr>
      </w:pPr>
    </w:p>
    <w:p w14:paraId="360479BE" w14:textId="77777777" w:rsidR="00201C04" w:rsidRDefault="00201C04">
      <w:pPr>
        <w:shd w:val="clear" w:color="auto" w:fill="FFFFFF"/>
      </w:pPr>
    </w:p>
    <w:p w14:paraId="64BF50A1" w14:textId="77777777" w:rsidR="00201C04" w:rsidRDefault="00066978">
      <w:pPr>
        <w:shd w:val="clear" w:color="auto" w:fill="FFFFFF"/>
        <w:jc w:val="center"/>
      </w:pPr>
      <w:r>
        <w:t>SI CONVIENE E SI STIPULA QUANTO SEGUE</w:t>
      </w:r>
    </w:p>
    <w:p w14:paraId="1A850BD4" w14:textId="77777777" w:rsidR="00201C04" w:rsidRDefault="00201C04">
      <w:pPr>
        <w:shd w:val="clear" w:color="auto" w:fill="FFFFFF"/>
        <w:jc w:val="center"/>
      </w:pPr>
    </w:p>
    <w:p w14:paraId="7D238799" w14:textId="77777777" w:rsidR="00201C04" w:rsidRDefault="00066978">
      <w:pPr>
        <w:shd w:val="clear" w:color="auto" w:fill="FFFFFF"/>
        <w:jc w:val="center"/>
      </w:pPr>
      <w:r>
        <w:rPr>
          <w:b/>
        </w:rPr>
        <w:t>ARTICOLO 1 - Oggetto e scopo dell’accordo convenzionale.</w:t>
      </w:r>
    </w:p>
    <w:p w14:paraId="5715F2A4" w14:textId="77777777" w:rsidR="00201C04" w:rsidRDefault="00066978">
      <w:pPr>
        <w:shd w:val="clear" w:color="auto" w:fill="FFFFFF"/>
        <w:jc w:val="center"/>
      </w:pPr>
      <w:r>
        <w:rPr>
          <w:b/>
        </w:rPr>
        <w:tab/>
      </w:r>
      <w:r>
        <w:rPr>
          <w:b/>
        </w:rPr>
        <w:tab/>
        <w:t>Individuazione ente capo convenzione.</w:t>
      </w:r>
    </w:p>
    <w:p w14:paraId="000A5360" w14:textId="77777777" w:rsidR="00201C04" w:rsidRDefault="00066978">
      <w:r>
        <w:t xml:space="preserve">Il presente accordo convenzionale di carattere organizzativo disciplina l’assegnazione temporanea da parte del Comune di Pralormo al Comune di Bra, </w:t>
      </w:r>
      <w:r>
        <w:rPr>
          <w:color w:val="000000"/>
        </w:rPr>
        <w:t>dell’Agente di Polizia Locale Cucco Franca,</w:t>
      </w:r>
      <w:r>
        <w:t xml:space="preserve"> per lo svolgimento di mansioni analoghe di polizia locale </w:t>
      </w:r>
      <w:r>
        <w:rPr>
          <w:color w:val="000000"/>
        </w:rPr>
        <w:t>presso il Comune di Bra per un massimo di 32 ore  durante la manifestazione “Cheese 2025”  in programma dal 19 al 22 settembre 2025</w:t>
      </w:r>
      <w:r>
        <w:t>, ai sensi e per le finalità di cui all’articolo 23 del CCNL del comparto  Funzioni Locali stipulato in data 16/11/2022.</w:t>
      </w:r>
    </w:p>
    <w:p w14:paraId="272D3C87" w14:textId="77777777" w:rsidR="00201C04" w:rsidRDefault="00066978">
      <w:r>
        <w:t>I suddetti Enti stipulanti designano concordemente il Comune di Bra quale ente “capo convenzione”.</w:t>
      </w:r>
    </w:p>
    <w:p w14:paraId="0D77D8CB" w14:textId="77777777" w:rsidR="00201C04" w:rsidRDefault="00201C04">
      <w:pPr>
        <w:rPr>
          <w:b/>
        </w:rPr>
      </w:pPr>
    </w:p>
    <w:p w14:paraId="49C4AB61" w14:textId="77777777" w:rsidR="00201C04" w:rsidRDefault="00066978">
      <w:pPr>
        <w:shd w:val="clear" w:color="auto" w:fill="FFFFFF"/>
        <w:jc w:val="center"/>
        <w:rPr>
          <w:b/>
        </w:rPr>
      </w:pPr>
      <w:r>
        <w:rPr>
          <w:b/>
        </w:rPr>
        <w:t>ARTICOLO 2 – Durata, modifiche, recesso, rescissione o scioglimento anticipato dell’accordo.</w:t>
      </w:r>
    </w:p>
    <w:p w14:paraId="18EF7498" w14:textId="77777777" w:rsidR="00201C04" w:rsidRDefault="00066978">
      <w:pPr>
        <w:pStyle w:val="Default"/>
        <w:jc w:val="both"/>
      </w:pPr>
      <w:r>
        <w:rPr>
          <w:rFonts w:ascii="Times New Roman" w:hAnsi="Times New Roman" w:cs="Times New Roman"/>
          <w:sz w:val="22"/>
          <w:szCs w:val="22"/>
        </w:rPr>
        <w:t>Il presente accordo avrà decorrenza dal 19/09/2025 e durerà fino al 22/09/2025.</w:t>
      </w:r>
    </w:p>
    <w:p w14:paraId="3558A238" w14:textId="77777777" w:rsidR="00201C04" w:rsidRDefault="00066978">
      <w:pPr>
        <w:pStyle w:val="Default"/>
        <w:jc w:val="both"/>
      </w:pPr>
      <w:r>
        <w:rPr>
          <w:rFonts w:ascii="Times New Roman" w:hAnsi="Times New Roman"/>
          <w:sz w:val="22"/>
          <w:szCs w:val="22"/>
        </w:rPr>
        <w:t>Le parti possono, mediante scambio di concordi atti degli organi rispettivamente competenti, disporre consensualmente lo scioglimento anticipato del presente accordo, dalla data di comune intesa indicata negli atti stessi.</w:t>
      </w:r>
    </w:p>
    <w:p w14:paraId="2453FE42" w14:textId="77777777" w:rsidR="00201C04" w:rsidRDefault="00066978">
      <w:pPr>
        <w:pStyle w:val="Default"/>
        <w:jc w:val="both"/>
      </w:pPr>
      <w:proofErr w:type="gramStart"/>
      <w:r>
        <w:rPr>
          <w:rFonts w:ascii="Times New Roman" w:hAnsi="Times New Roman"/>
          <w:sz w:val="22"/>
          <w:szCs w:val="22"/>
        </w:rPr>
        <w:t>E’</w:t>
      </w:r>
      <w:proofErr w:type="gramEnd"/>
      <w:r>
        <w:rPr>
          <w:rFonts w:ascii="Times New Roman" w:hAnsi="Times New Roman"/>
          <w:sz w:val="22"/>
          <w:szCs w:val="22"/>
        </w:rPr>
        <w:t xml:space="preserve"> altresì causa di rescissione anticipata dell’accordo il venir meno del consenso dell’Agente di Polizia Locale interessato, da comunicarsi per iscritto ad entrambi gli Enti entro il 31 agosto 2025. In caso di malattia, infortunio, o altro impedimento che non consenta la prestazione, l’Ente di appartenenza ne informerà con ogni urgenza il Comune di Bra ai fini della eventuale sostituzione del soggetto interessato.</w:t>
      </w:r>
    </w:p>
    <w:p w14:paraId="454E017E" w14:textId="77777777" w:rsidR="00201C04" w:rsidRDefault="00066978">
      <w:pPr>
        <w:shd w:val="clear" w:color="auto" w:fill="FFFFFF"/>
      </w:pPr>
      <w:r>
        <w:t xml:space="preserve">Dalla data di effetto, secondo quanto previsto dai commi precedenti, della cessazione, dello scioglimento anticipato, del recesso o della rescissione del presente accordo convenzionale, il dipendente interessato non sarà tenuto a prestare la propria attività lavorativa prevista nel presente accordo. </w:t>
      </w:r>
    </w:p>
    <w:p w14:paraId="5C9C1E9B" w14:textId="77777777" w:rsidR="00201C04" w:rsidRDefault="00201C04">
      <w:pPr>
        <w:pStyle w:val="Default"/>
        <w:jc w:val="both"/>
        <w:rPr>
          <w:rFonts w:ascii="Times New Roman" w:hAnsi="Times New Roman" w:cs="Times New Roman"/>
          <w:sz w:val="22"/>
          <w:szCs w:val="22"/>
        </w:rPr>
      </w:pPr>
    </w:p>
    <w:p w14:paraId="6C4F065C" w14:textId="77777777" w:rsidR="00201C04" w:rsidRDefault="00066978">
      <w:pPr>
        <w:shd w:val="clear" w:color="auto" w:fill="FFFFFF"/>
        <w:jc w:val="center"/>
        <w:rPr>
          <w:b/>
        </w:rPr>
      </w:pPr>
      <w:r>
        <w:rPr>
          <w:b/>
        </w:rPr>
        <w:t>ARTICOLO 3 – Rapporto e Orario di lavoro – Trattamento economico</w:t>
      </w:r>
    </w:p>
    <w:p w14:paraId="2EB3E066" w14:textId="77777777" w:rsidR="00201C04" w:rsidRDefault="00066978">
      <w:pPr>
        <w:shd w:val="clear" w:color="auto" w:fill="FFFFFF"/>
      </w:pPr>
      <w:r>
        <w:rPr>
          <w:color w:val="000000"/>
        </w:rPr>
        <w:t>Il</w:t>
      </w:r>
      <w:r>
        <w:t xml:space="preserve"> rapporto di lavoro </w:t>
      </w:r>
      <w:r>
        <w:rPr>
          <w:color w:val="000000"/>
        </w:rPr>
        <w:t xml:space="preserve">del suddetto </w:t>
      </w:r>
      <w:r>
        <w:t>dipendent</w:t>
      </w:r>
      <w:r>
        <w:rPr>
          <w:color w:val="000000"/>
        </w:rPr>
        <w:t>e</w:t>
      </w:r>
      <w:r>
        <w:t xml:space="preserve">, sia relativamente al trattamento giuridico che alla corresponsione del trattamento economico, resta in capo al Comune di Pralormo del quale l’unità di personale </w:t>
      </w:r>
      <w:proofErr w:type="gramStart"/>
      <w:r>
        <w:rPr>
          <w:color w:val="000000"/>
        </w:rPr>
        <w:t xml:space="preserve">è </w:t>
      </w:r>
      <w:r>
        <w:t xml:space="preserve"> dipendent</w:t>
      </w:r>
      <w:r>
        <w:rPr>
          <w:color w:val="000000"/>
        </w:rPr>
        <w:t>e</w:t>
      </w:r>
      <w:proofErr w:type="gramEnd"/>
      <w:r>
        <w:t xml:space="preserve"> a tempo indeterminato.</w:t>
      </w:r>
    </w:p>
    <w:p w14:paraId="45B46EF6" w14:textId="77777777" w:rsidR="00201C04" w:rsidRDefault="00066978">
      <w:pPr>
        <w:shd w:val="clear" w:color="auto" w:fill="FFFFFF"/>
      </w:pPr>
      <w:r>
        <w:t>La dipendenza operativa durante l’utilizzo da parte de</w:t>
      </w:r>
      <w:r>
        <w:rPr>
          <w:color w:val="000000"/>
        </w:rPr>
        <w:t>l</w:t>
      </w:r>
      <w:r>
        <w:t xml:space="preserve"> Comune di Bra per la manifestazione Cheese 2025 sarà invece gestita dal Comando del Corpo di Polizia </w:t>
      </w:r>
      <w:r>
        <w:rPr>
          <w:color w:val="000000"/>
        </w:rPr>
        <w:t xml:space="preserve">Locale </w:t>
      </w:r>
      <w:r>
        <w:t>di Bra.</w:t>
      </w:r>
    </w:p>
    <w:p w14:paraId="3611BF44" w14:textId="77777777" w:rsidR="00201C04" w:rsidRDefault="00066978">
      <w:pPr>
        <w:shd w:val="clear" w:color="auto" w:fill="FFFFFF"/>
      </w:pPr>
      <w:r>
        <w:t xml:space="preserve">L’orario di lavoro da prestarsi presso il Comune di Bra </w:t>
      </w:r>
      <w:r>
        <w:rPr>
          <w:color w:val="000000"/>
        </w:rPr>
        <w:t>nelle giornate della manifestazione si svolgerà pertanto secondo turni disposti con ordini di servizio del Comandante la Polizia Locale di Bra conformemente alle norme regolamentari del Corpo di P.L., nonché di quelle contrattuali collettive nazionali e decentrate del Comune di Bra, concordati preventivamente con il Comando di appartenenza e sentiti gli Agenti impegnati, in modo da rispettare le vigenti norme in tema di limiti orari delle prestazioni degli agenti di polizia locale e relativi riposi.</w:t>
      </w:r>
    </w:p>
    <w:p w14:paraId="61E35CC2" w14:textId="77777777" w:rsidR="00201C04" w:rsidRPr="00290AC4" w:rsidRDefault="00066978">
      <w:pPr>
        <w:shd w:val="clear" w:color="auto" w:fill="FFFFFF"/>
      </w:pPr>
      <w:r>
        <w:rPr>
          <w:color w:val="000000"/>
        </w:rPr>
        <w:t xml:space="preserve">Il Comando della Polizia Locale di Bra è incaricato di effettuare alla Prefettura la comunicazione preventiva di servizio fuori sede territoriale comunale del personale suddetto, anche ai fini dell’autorizzazione all’utilizzo delle armi e degli strumenti in dotazione individuale, ai sensi delle sopra citate norme di legge nazionale e </w:t>
      </w:r>
      <w:r w:rsidRPr="00290AC4">
        <w:rPr>
          <w:color w:val="000000"/>
        </w:rPr>
        <w:t>regionale.</w:t>
      </w:r>
    </w:p>
    <w:p w14:paraId="6A6A5C22" w14:textId="77777777" w:rsidR="00201C04" w:rsidRPr="00290AC4" w:rsidRDefault="00066978">
      <w:pPr>
        <w:shd w:val="clear" w:color="auto" w:fill="FFFFFF"/>
      </w:pPr>
      <w:r w:rsidRPr="00290AC4">
        <w:rPr>
          <w:color w:val="000000"/>
        </w:rPr>
        <w:t>Sulla base di quanto sopra, gli orari di servizio come sopra disposti potranno:</w:t>
      </w:r>
    </w:p>
    <w:p w14:paraId="0D5D8681" w14:textId="77777777" w:rsidR="00201C04" w:rsidRDefault="00066978">
      <w:pPr>
        <w:numPr>
          <w:ilvl w:val="0"/>
          <w:numId w:val="2"/>
        </w:numPr>
        <w:shd w:val="clear" w:color="auto" w:fill="FFFFFF"/>
        <w:rPr>
          <w:highlight w:val="yellow"/>
        </w:rPr>
      </w:pPr>
      <w:r w:rsidRPr="00290AC4">
        <w:rPr>
          <w:color w:val="000000"/>
        </w:rPr>
        <w:lastRenderedPageBreak/>
        <w:t>Coincidere</w:t>
      </w:r>
      <w:r>
        <w:rPr>
          <w:color w:val="000000"/>
        </w:rPr>
        <w:t xml:space="preserve">, in tutto o in parte, con orari di servizio normalmente previsti dall’orario di servizio fisso o dalla turnazione dovuta presso l’Ente di appartenenza: per la parte coincidente con gli orari di servizio presso l’Ente di appartenenza, le ore prestate da ogni singolo agente a favore del Comune di </w:t>
      </w:r>
      <w:r w:rsidRPr="00290AC4">
        <w:rPr>
          <w:color w:val="000000"/>
        </w:rPr>
        <w:t>Bra durante</w:t>
      </w:r>
      <w:r w:rsidRPr="00290AC4">
        <w:rPr>
          <w:color w:val="000000"/>
          <w:shd w:val="clear" w:color="auto" w:fill="FFFF00"/>
        </w:rPr>
        <w:t xml:space="preserve"> </w:t>
      </w:r>
      <w:r w:rsidRPr="00290AC4">
        <w:rPr>
          <w:color w:val="000000"/>
        </w:rPr>
        <w:t>la</w:t>
      </w:r>
      <w:r>
        <w:rPr>
          <w:color w:val="000000"/>
        </w:rPr>
        <w:t xml:space="preserve"> manifestazione saranno compensate con il normale trattamento economico ordinario, oltre all’indennità di turno, ove prevista dal Corpo o Servizio di Polizia Locale di appartenenza;</w:t>
      </w:r>
    </w:p>
    <w:p w14:paraId="57FDC9E5" w14:textId="77777777" w:rsidR="00201C04" w:rsidRDefault="00066978">
      <w:pPr>
        <w:numPr>
          <w:ilvl w:val="0"/>
          <w:numId w:val="2"/>
        </w:numPr>
        <w:shd w:val="clear" w:color="auto" w:fill="FFFFFF"/>
      </w:pPr>
      <w:r>
        <w:rPr>
          <w:color w:val="000000"/>
        </w:rPr>
        <w:t>Non coincidere, in tutto o in parte, con orari di servizio normalmente previsti dall’orario di servizio fisso o dalla turnazione dovuta presso l’Ente di appartenenza: per la parte non coincidente con gli orari di servizio presso l’Ente di appartenenza, le ore prestate da ogni singolo agente a favore del Comune di Bra durante la manifestazione saranno compensate con il trattamento economico aggiuntivo previsto dal Corpo o Servizio di Polizia Locale di appartenenza per ogni singola fattispecie contrattuale collettiva che si sarà prodotta (lavoro straordinario diurno, festivo o festivo-notturno; lavoro domenicale; orario multiperiodale, ecc.).</w:t>
      </w:r>
    </w:p>
    <w:p w14:paraId="3E373786" w14:textId="77777777" w:rsidR="00201C04" w:rsidRDefault="00066978">
      <w:pPr>
        <w:shd w:val="clear" w:color="auto" w:fill="FFFFFF"/>
      </w:pPr>
      <w:r>
        <w:rPr>
          <w:color w:val="000000"/>
        </w:rPr>
        <w:t>Inoltre, per ogni ora di lavoro, sia ordinario ai sensi della precedente lettera a), che straordinario o di altra fattispecie, di cui alla precedente lettera b), prestata da ciascun Agente, oltre ai compensi ivi previsti sarà erogato in aggiunta un compenso incentivante pari ad euro 7,00 (sette) lordi per ogni ora. A tal fine, la Giunta Comunale, avuta contezza degli operatori disponibili, approverà un apposito “Progetto strumentale” ai sensi dell’articolo 5 del Contratto Collettivo Integrativo di Lavoro (C.C.I.L.) del Comune di Bra del 13.12.2023.</w:t>
      </w:r>
    </w:p>
    <w:p w14:paraId="6759E7A5" w14:textId="77777777" w:rsidR="00201C04" w:rsidRDefault="00066978">
      <w:pPr>
        <w:shd w:val="clear" w:color="auto" w:fill="FFFFFF"/>
      </w:pPr>
      <w:r>
        <w:rPr>
          <w:color w:val="000000"/>
        </w:rPr>
        <w:t>Nelle giornate di servizio verrà altresì garantito il servizio mensa.</w:t>
      </w:r>
    </w:p>
    <w:p w14:paraId="7F188838" w14:textId="77777777" w:rsidR="00201C04" w:rsidRDefault="00066978">
      <w:pPr>
        <w:shd w:val="clear" w:color="auto" w:fill="FFFFFF"/>
      </w:pPr>
      <w:r>
        <w:t xml:space="preserve">Non comportando, di norma, l’orario di lavoro di cui al presente articolo 3 prestazioni di lavoro presso entrambi gli Enti nella stessa giornata lavorativa, non sono previsti rimborsi di spese di viaggio. I rispettivi Comandi di </w:t>
      </w:r>
      <w:r>
        <w:rPr>
          <w:color w:val="000000"/>
        </w:rPr>
        <w:t>P</w:t>
      </w:r>
      <w:r>
        <w:t>olizia Locale possono concordare a parte modalità e condizioni di utilizzo dei mezzi di trasporto in dotazione.</w:t>
      </w:r>
    </w:p>
    <w:p w14:paraId="6B2EC008" w14:textId="77777777" w:rsidR="00201C04" w:rsidRDefault="00066978">
      <w:pPr>
        <w:pStyle w:val="Default"/>
        <w:shd w:val="clear" w:color="auto" w:fill="FFFFFF"/>
        <w:jc w:val="both"/>
        <w:rPr>
          <w:rFonts w:ascii="Times New Roman" w:eastAsia="Calibri" w:hAnsi="Times New Roman" w:cs="Times New Roman"/>
          <w:color w:val="auto"/>
          <w:sz w:val="22"/>
          <w:szCs w:val="22"/>
          <w:lang w:eastAsia="zh-CN" w:bidi="ar-SA"/>
        </w:rPr>
      </w:pPr>
      <w:r>
        <w:rPr>
          <w:rFonts w:ascii="Times New Roman" w:eastAsia="Calibri" w:hAnsi="Times New Roman" w:cs="Times New Roman"/>
          <w:sz w:val="22"/>
          <w:szCs w:val="22"/>
          <w:lang w:eastAsia="zh-CN" w:bidi="ar-SA"/>
        </w:rPr>
        <w:t>In caso di infortunio, la relativa denuncia INAIL e gestione della pratica sarà a carico dell’Ente di appartenenza, cui spetterà anche il relativo rimborso da parte del suddetto Istituto assicurativo.</w:t>
      </w:r>
    </w:p>
    <w:p w14:paraId="7B89DE20" w14:textId="77777777" w:rsidR="00201C04" w:rsidRDefault="00201C04">
      <w:pPr>
        <w:shd w:val="clear" w:color="auto" w:fill="FFFFFF"/>
        <w:jc w:val="center"/>
        <w:rPr>
          <w:b/>
        </w:rPr>
      </w:pPr>
    </w:p>
    <w:p w14:paraId="731B6F21" w14:textId="77777777" w:rsidR="00201C04" w:rsidRDefault="00066978">
      <w:pPr>
        <w:shd w:val="clear" w:color="auto" w:fill="FFFFFF"/>
        <w:jc w:val="center"/>
      </w:pPr>
      <w:r>
        <w:rPr>
          <w:b/>
        </w:rPr>
        <w:t xml:space="preserve">ARTICOLO 4 – Finanziamento e rapporti </w:t>
      </w:r>
      <w:r>
        <w:rPr>
          <w:b/>
          <w:color w:val="000000"/>
        </w:rPr>
        <w:t xml:space="preserve">economici </w:t>
      </w:r>
      <w:r>
        <w:rPr>
          <w:b/>
        </w:rPr>
        <w:t>tra gli enti</w:t>
      </w:r>
    </w:p>
    <w:p w14:paraId="7E83286A" w14:textId="77777777" w:rsidR="00201C04" w:rsidRDefault="00066978">
      <w:pPr>
        <w:shd w:val="clear" w:color="auto" w:fill="FFFFFF"/>
      </w:pPr>
      <w:r>
        <w:t>Tutte le spese in ordine ai trattamenti economici di cui al precedente articolo 3 saranno a carico del Comune di Bra, che li rimborserà a vista agli Enti che assegnano il personale di polizia locale in oggetto, secondo le seguenti modalità:</w:t>
      </w:r>
    </w:p>
    <w:p w14:paraId="08B26C36" w14:textId="77777777" w:rsidR="00201C04" w:rsidRDefault="00066978">
      <w:pPr>
        <w:numPr>
          <w:ilvl w:val="0"/>
          <w:numId w:val="1"/>
        </w:numPr>
        <w:shd w:val="clear" w:color="auto" w:fill="FFFFFF"/>
      </w:pPr>
      <w:r>
        <w:t xml:space="preserve">Al termine dello svolgimento della manifestazione, sulla base della rilevazione delle prestazioni effettuate dal personale suddetto in esecuzione degli ordini di servizio del Comando del Corpo di P.L. del Comune di Bra, di cui </w:t>
      </w:r>
      <w:r>
        <w:rPr>
          <w:color w:val="000000"/>
        </w:rPr>
        <w:t xml:space="preserve">al precedente articolo 3, quest’ultimo comunica dettagliatamente per iscritto a ciascun Ente di rispettiva appartenenza giorno, orari e numero di ore di lavoro effettivamente prestate da ogni Agente in base al presente Accordo. Con la medesima comunicazione calcola l’importo dei premi lordi di cui al precedente articolo 3, sesto comma, ed autorizza l’Ente di appartenenza alla corresponsione di tali premi, salvo che il Comandante del Corpo di P.L. di Bra esprima giudizio negativo sulla qualità ritenuta fortemente insufficiente della prestazione lavorativa fornita ed applichi una riduzione, come previsto dal progetto. </w:t>
      </w:r>
    </w:p>
    <w:p w14:paraId="3FEE1747" w14:textId="77777777" w:rsidR="00201C04" w:rsidRDefault="00066978">
      <w:pPr>
        <w:numPr>
          <w:ilvl w:val="0"/>
          <w:numId w:val="1"/>
        </w:numPr>
        <w:shd w:val="clear" w:color="auto" w:fill="FFFFFF"/>
      </w:pPr>
      <w:r>
        <w:rPr>
          <w:color w:val="000000"/>
        </w:rPr>
        <w:t>L’Ente di appartenenza di ogni Agente coinvolto corrisponde ad esso in busta paga i trattamenti economici di cui al precedente articolo 3, lettere a) o b), nonché i premi lordi di cui sopra, disposti dal Comune di Bra, ne versa i conseguenti oneri assicurativi, previdenziali e fiscali IRAP, ne calcola il costo complessivo e lo comunica al Comune di Bra che provvederà al rimborso, sulla base della medesima semplice richiesta, entro il mese di gennaio 2026.</w:t>
      </w:r>
    </w:p>
    <w:p w14:paraId="2BFFD975" w14:textId="77777777" w:rsidR="00201C04" w:rsidRDefault="00066978">
      <w:pPr>
        <w:shd w:val="clear" w:color="auto" w:fill="FFFFFF"/>
      </w:pPr>
      <w:r>
        <w:rPr>
          <w:color w:val="000000"/>
        </w:rPr>
        <w:t>Si precisa che, di conseguenza:</w:t>
      </w:r>
    </w:p>
    <w:p w14:paraId="11462F1B" w14:textId="77777777" w:rsidR="00201C04" w:rsidRDefault="00066978">
      <w:pPr>
        <w:numPr>
          <w:ilvl w:val="0"/>
          <w:numId w:val="3"/>
        </w:numPr>
        <w:shd w:val="clear" w:color="auto" w:fill="FFFFFF"/>
      </w:pPr>
      <w:r>
        <w:rPr>
          <w:color w:val="000000"/>
        </w:rPr>
        <w:t>tutte le spese come sopra rimborsate verranno computate, ai fini della verifica del rispetto dei relativi limiti di spesa di personale (art. 1, commi 557 e ss. o 562, della legge 296/2009, ecc.) dal Comune di Bra e non dagli Enti cui sono state da quest’ultimo rimborsate;</w:t>
      </w:r>
    </w:p>
    <w:p w14:paraId="4C89CADE" w14:textId="77777777" w:rsidR="00201C04" w:rsidRDefault="00066978">
      <w:pPr>
        <w:numPr>
          <w:ilvl w:val="0"/>
          <w:numId w:val="3"/>
        </w:numPr>
        <w:shd w:val="clear" w:color="auto" w:fill="FFFFFF"/>
      </w:pPr>
      <w:r>
        <w:rPr>
          <w:color w:val="000000"/>
        </w:rPr>
        <w:t>similmente, gli importi dei salari accessori di cui alle lettere a) e b), nonché all’ultimo comma del precedente articolo 3 (turnazioni, lavoro straordinario, lavoro domenicale, compenso incentivante premiale, ecc.), verranno computati, ai fini della verifica del rispetto dei relativi limiti di spesa (</w:t>
      </w:r>
      <w:proofErr w:type="gramStart"/>
      <w:r>
        <w:rPr>
          <w:color w:val="000000"/>
        </w:rPr>
        <w:t>art. ,</w:t>
      </w:r>
      <w:proofErr w:type="gramEnd"/>
      <w:r>
        <w:rPr>
          <w:color w:val="000000"/>
        </w:rPr>
        <w:t xml:space="preserve"> articolo 23, comma 2, del d.lgs 75/2017, limite lavoro straordinario art. 14 CCNL 14/9/2009, ecc.) dal Comune di Bra e non dagli Enti cui sono stati da quest’ultimo rimborsati.</w:t>
      </w:r>
    </w:p>
    <w:p w14:paraId="5D3878FE" w14:textId="77777777" w:rsidR="00201C04" w:rsidRDefault="00201C04">
      <w:pPr>
        <w:shd w:val="clear" w:color="auto" w:fill="FFFFFF"/>
        <w:rPr>
          <w:b/>
        </w:rPr>
      </w:pPr>
    </w:p>
    <w:p w14:paraId="5A869A03" w14:textId="77777777" w:rsidR="00201C04" w:rsidRDefault="00066978">
      <w:pPr>
        <w:shd w:val="clear" w:color="auto" w:fill="FFFFFF"/>
        <w:jc w:val="center"/>
      </w:pPr>
      <w:r>
        <w:rPr>
          <w:b/>
        </w:rPr>
        <w:t xml:space="preserve">ARTICOLO 5 </w:t>
      </w:r>
      <w:proofErr w:type="gramStart"/>
      <w:r>
        <w:rPr>
          <w:b/>
        </w:rPr>
        <w:t>-  Disposizioni</w:t>
      </w:r>
      <w:proofErr w:type="gramEnd"/>
      <w:r>
        <w:rPr>
          <w:b/>
        </w:rPr>
        <w:t xml:space="preserve"> finali</w:t>
      </w:r>
    </w:p>
    <w:p w14:paraId="78CF5AF3" w14:textId="77777777" w:rsidR="00201C04" w:rsidRDefault="00066978">
      <w:pPr>
        <w:shd w:val="clear" w:color="auto" w:fill="FFFFFF"/>
      </w:pPr>
      <w:r>
        <w:t>Per quanto non espressamente previsto nel presente accordo convenzionale, si fa riferimento alle disposizioni normative vigenti in materia. In caso di controversie fra le parti, il foro competente è quello di Asti.</w:t>
      </w:r>
    </w:p>
    <w:p w14:paraId="45E111C4" w14:textId="77777777" w:rsidR="00201C04" w:rsidRDefault="00066978">
      <w:pPr>
        <w:shd w:val="clear" w:color="auto" w:fill="FFFFFF"/>
      </w:pPr>
      <w:r>
        <w:t>Trattandosi di accordo convenzionale organizzativo tra pubbliche amministrazioni, il presente atto pattizio non è soggetto a registrazione, se non in caso d’uso per i fini di cui al comma precedente.</w:t>
      </w:r>
    </w:p>
    <w:p w14:paraId="66735ED9" w14:textId="77777777" w:rsidR="00201C04" w:rsidRDefault="00201C04">
      <w:pPr>
        <w:shd w:val="clear" w:color="auto" w:fill="FFFFFF"/>
      </w:pPr>
    </w:p>
    <w:p w14:paraId="730A9215" w14:textId="77777777" w:rsidR="00201C04" w:rsidRDefault="00201C04">
      <w:pPr>
        <w:shd w:val="clear" w:color="auto" w:fill="FFFFFF"/>
      </w:pPr>
    </w:p>
    <w:p w14:paraId="77931501" w14:textId="77777777" w:rsidR="00201C04" w:rsidRDefault="00066978">
      <w:pPr>
        <w:shd w:val="clear" w:color="auto" w:fill="FFFFFF"/>
      </w:pPr>
      <w:r>
        <w:lastRenderedPageBreak/>
        <w:t xml:space="preserve">LETTO, APPROVATO E SOTTOSCRITTO </w:t>
      </w:r>
    </w:p>
    <w:p w14:paraId="6099BE6C" w14:textId="77777777" w:rsidR="00201C04" w:rsidRDefault="00201C04">
      <w:pPr>
        <w:shd w:val="clear" w:color="auto" w:fill="FFFFFF"/>
      </w:pPr>
    </w:p>
    <w:p w14:paraId="052B2734" w14:textId="1E308A35" w:rsidR="00201C04" w:rsidRDefault="00066978">
      <w:pPr>
        <w:shd w:val="clear" w:color="auto" w:fill="FFFFFF"/>
      </w:pPr>
      <w:r>
        <w:t>Per il Comune di Pralormo</w:t>
      </w:r>
      <w:r>
        <w:tab/>
      </w:r>
      <w:r>
        <w:tab/>
      </w:r>
      <w:r>
        <w:tab/>
      </w:r>
      <w:r>
        <w:tab/>
      </w:r>
      <w:r w:rsidR="00290AC4">
        <w:t>il Sindaco Emma Burzio</w:t>
      </w:r>
      <w:r>
        <w:tab/>
        <w:t>Firmato digitalmente</w:t>
      </w:r>
    </w:p>
    <w:p w14:paraId="638BB3EE" w14:textId="77777777" w:rsidR="00201C04" w:rsidRDefault="00201C04">
      <w:pPr>
        <w:shd w:val="clear" w:color="auto" w:fill="FFFFFF"/>
      </w:pPr>
    </w:p>
    <w:p w14:paraId="01829A97" w14:textId="77777777" w:rsidR="00201C04" w:rsidRDefault="00066978">
      <w:pPr>
        <w:shd w:val="clear" w:color="auto" w:fill="FFFFFF"/>
      </w:pPr>
      <w:r>
        <w:t>Per il Comune di Bra</w:t>
      </w:r>
      <w:r>
        <w:tab/>
      </w:r>
      <w:r>
        <w:tab/>
      </w:r>
      <w:r>
        <w:tab/>
      </w:r>
      <w:r>
        <w:tab/>
      </w:r>
      <w:r>
        <w:tab/>
        <w:t>dott. Fabrizio Rodano</w:t>
      </w:r>
      <w:r>
        <w:tab/>
        <w:t>Firmato digitalmente</w:t>
      </w:r>
    </w:p>
    <w:p w14:paraId="0A714044" w14:textId="77777777" w:rsidR="00201C04" w:rsidRDefault="00201C04">
      <w:pPr>
        <w:shd w:val="clear" w:color="auto" w:fill="FFFFFF"/>
      </w:pPr>
    </w:p>
    <w:p w14:paraId="35BB2707" w14:textId="77777777" w:rsidR="00201C04" w:rsidRDefault="00066978">
      <w:pPr>
        <w:shd w:val="clear" w:color="auto" w:fill="FFFFFF"/>
      </w:pPr>
      <w:r>
        <w:t>Data firma Comune di Bra</w:t>
      </w:r>
    </w:p>
    <w:sectPr w:rsidR="00201C04">
      <w:headerReference w:type="default" r:id="rId9"/>
      <w:footerReference w:type="default" r:id="rId10"/>
      <w:pgSz w:w="11906" w:h="16838"/>
      <w:pgMar w:top="1133" w:right="1134" w:bottom="1133" w:left="1134" w:header="283" w:footer="28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865B2" w14:textId="77777777" w:rsidR="00F03638" w:rsidRDefault="00F03638">
      <w:r>
        <w:separator/>
      </w:r>
    </w:p>
  </w:endnote>
  <w:endnote w:type="continuationSeparator" w:id="0">
    <w:p w14:paraId="1C861978" w14:textId="77777777" w:rsidR="00F03638" w:rsidRDefault="00F03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altName w:val="Calibri"/>
    <w:charset w:val="01"/>
    <w:family w:val="auto"/>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PSMT">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8A392" w14:textId="77777777" w:rsidR="00201C04" w:rsidRDefault="00201C04">
    <w:pPr>
      <w:pStyle w:val="Pidipagina"/>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74C76" w14:textId="77777777" w:rsidR="00F03638" w:rsidRDefault="00F03638">
      <w:r>
        <w:separator/>
      </w:r>
    </w:p>
  </w:footnote>
  <w:footnote w:type="continuationSeparator" w:id="0">
    <w:p w14:paraId="4D6E947C" w14:textId="77777777" w:rsidR="00F03638" w:rsidRDefault="00F03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F1690" w14:textId="77777777" w:rsidR="00201C04" w:rsidRDefault="00201C0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C2C11"/>
    <w:multiLevelType w:val="multilevel"/>
    <w:tmpl w:val="F5F2E6CA"/>
    <w:lvl w:ilvl="0">
      <w:start w:val="1"/>
      <w:numFmt w:val="decimal"/>
      <w:lvlText w:val="%1."/>
      <w:lvlJc w:val="left"/>
      <w:pPr>
        <w:tabs>
          <w:tab w:val="num" w:pos="283"/>
        </w:tabs>
        <w:ind w:left="283" w:hanging="283"/>
      </w:pPr>
    </w:lvl>
    <w:lvl w:ilvl="1">
      <w:start w:val="1"/>
      <w:numFmt w:val="decimal"/>
      <w:lvlText w:val="%1.%2."/>
      <w:lvlJc w:val="left"/>
      <w:pPr>
        <w:tabs>
          <w:tab w:val="num" w:pos="737"/>
        </w:tabs>
        <w:ind w:left="737" w:hanging="454"/>
      </w:pPr>
    </w:lvl>
    <w:lvl w:ilvl="2">
      <w:start w:val="1"/>
      <w:numFmt w:val="decimal"/>
      <w:lvlText w:val="%1.%2.%3."/>
      <w:lvlJc w:val="left"/>
      <w:pPr>
        <w:tabs>
          <w:tab w:val="num" w:pos="1332"/>
        </w:tabs>
        <w:ind w:left="1332" w:hanging="595"/>
      </w:pPr>
    </w:lvl>
    <w:lvl w:ilvl="3">
      <w:start w:val="1"/>
      <w:numFmt w:val="decimal"/>
      <w:lvlText w:val="%1.%2.%3.%4."/>
      <w:lvlJc w:val="left"/>
      <w:pPr>
        <w:tabs>
          <w:tab w:val="num" w:pos="2154"/>
        </w:tabs>
        <w:ind w:left="2154" w:hanging="822"/>
      </w:pPr>
    </w:lvl>
    <w:lvl w:ilvl="4">
      <w:start w:val="1"/>
      <w:numFmt w:val="decimal"/>
      <w:lvlText w:val="%2.%3.%4.%5."/>
      <w:lvlJc w:val="left"/>
      <w:pPr>
        <w:tabs>
          <w:tab w:val="num" w:pos="1985"/>
        </w:tabs>
        <w:ind w:left="2342" w:hanging="397"/>
      </w:pPr>
    </w:lvl>
    <w:lvl w:ilvl="5">
      <w:start w:val="1"/>
      <w:numFmt w:val="decimal"/>
      <w:lvlText w:val="%3.%4.%5.%6."/>
      <w:lvlJc w:val="left"/>
      <w:pPr>
        <w:tabs>
          <w:tab w:val="num" w:pos="2381"/>
        </w:tabs>
        <w:ind w:left="2738" w:hanging="397"/>
      </w:pPr>
    </w:lvl>
    <w:lvl w:ilvl="6">
      <w:start w:val="1"/>
      <w:numFmt w:val="decimal"/>
      <w:lvlText w:val="%4.%5.%6.%7."/>
      <w:lvlJc w:val="left"/>
      <w:pPr>
        <w:tabs>
          <w:tab w:val="num" w:pos="2778"/>
        </w:tabs>
        <w:ind w:left="3135" w:hanging="397"/>
      </w:pPr>
    </w:lvl>
    <w:lvl w:ilvl="7">
      <w:start w:val="1"/>
      <w:numFmt w:val="decimal"/>
      <w:lvlText w:val="%5.%6.%7.%8."/>
      <w:lvlJc w:val="left"/>
      <w:pPr>
        <w:tabs>
          <w:tab w:val="num" w:pos="3175"/>
        </w:tabs>
        <w:ind w:left="3532" w:hanging="397"/>
      </w:pPr>
    </w:lvl>
    <w:lvl w:ilvl="8">
      <w:start w:val="1"/>
      <w:numFmt w:val="decimal"/>
      <w:lvlText w:val="%6.%7.%8.%9."/>
      <w:lvlJc w:val="left"/>
      <w:pPr>
        <w:tabs>
          <w:tab w:val="num" w:pos="3572"/>
        </w:tabs>
        <w:ind w:left="3929" w:hanging="397"/>
      </w:pPr>
    </w:lvl>
  </w:abstractNum>
  <w:abstractNum w:abstractNumId="1" w15:restartNumberingAfterBreak="0">
    <w:nsid w:val="48594311"/>
    <w:multiLevelType w:val="multilevel"/>
    <w:tmpl w:val="6268C3BA"/>
    <w:lvl w:ilvl="0">
      <w:start w:val="1"/>
      <w:numFmt w:val="lowerLetter"/>
      <w:lvlText w:val="%1)"/>
      <w:lvlJc w:val="left"/>
      <w:pPr>
        <w:tabs>
          <w:tab w:val="num" w:pos="283"/>
        </w:tabs>
        <w:ind w:left="283" w:hanging="283"/>
      </w:pPr>
    </w:lvl>
    <w:lvl w:ilvl="1">
      <w:start w:val="1"/>
      <w:numFmt w:val="lowerLetter"/>
      <w:lvlText w:val="%1.%2)"/>
      <w:lvlJc w:val="left"/>
      <w:pPr>
        <w:tabs>
          <w:tab w:val="num" w:pos="737"/>
        </w:tabs>
        <w:ind w:left="737" w:hanging="454"/>
      </w:pPr>
    </w:lvl>
    <w:lvl w:ilvl="2">
      <w:start w:val="1"/>
      <w:numFmt w:val="lowerLetter"/>
      <w:lvlText w:val="%1.%2.%3)"/>
      <w:lvlJc w:val="left"/>
      <w:pPr>
        <w:tabs>
          <w:tab w:val="num" w:pos="1361"/>
        </w:tabs>
        <w:ind w:left="1361" w:hanging="624"/>
      </w:pPr>
    </w:lvl>
    <w:lvl w:ilvl="3">
      <w:start w:val="1"/>
      <w:numFmt w:val="lowerLetter"/>
      <w:lvlText w:val="%1.%2.%3.%4)"/>
      <w:lvlJc w:val="left"/>
      <w:pPr>
        <w:tabs>
          <w:tab w:val="num" w:pos="2154"/>
        </w:tabs>
        <w:ind w:left="2154" w:hanging="793"/>
      </w:pPr>
    </w:lvl>
    <w:lvl w:ilvl="4">
      <w:start w:val="1"/>
      <w:numFmt w:val="lowerLetter"/>
      <w:lvlText w:val="%2.%3.%4.%5)"/>
      <w:lvlJc w:val="left"/>
      <w:pPr>
        <w:tabs>
          <w:tab w:val="num" w:pos="2342"/>
        </w:tabs>
        <w:ind w:left="2342" w:hanging="397"/>
      </w:pPr>
    </w:lvl>
    <w:lvl w:ilvl="5">
      <w:start w:val="1"/>
      <w:numFmt w:val="lowerLetter"/>
      <w:lvlText w:val="%3.%4.%5.%6)"/>
      <w:lvlJc w:val="left"/>
      <w:pPr>
        <w:tabs>
          <w:tab w:val="num" w:pos="2739"/>
        </w:tabs>
        <w:ind w:left="2739" w:hanging="397"/>
      </w:pPr>
    </w:lvl>
    <w:lvl w:ilvl="6">
      <w:start w:val="1"/>
      <w:numFmt w:val="lowerLetter"/>
      <w:lvlText w:val="%4.%5.%6.%7)"/>
      <w:lvlJc w:val="left"/>
      <w:pPr>
        <w:tabs>
          <w:tab w:val="num" w:pos="3136"/>
        </w:tabs>
        <w:ind w:left="3136" w:hanging="397"/>
      </w:pPr>
    </w:lvl>
    <w:lvl w:ilvl="7">
      <w:start w:val="1"/>
      <w:numFmt w:val="lowerLetter"/>
      <w:lvlText w:val="%5.%6.%7.%8)"/>
      <w:lvlJc w:val="left"/>
      <w:pPr>
        <w:tabs>
          <w:tab w:val="num" w:pos="3533"/>
        </w:tabs>
        <w:ind w:left="3533" w:hanging="397"/>
      </w:pPr>
    </w:lvl>
    <w:lvl w:ilvl="8">
      <w:start w:val="1"/>
      <w:numFmt w:val="lowerLetter"/>
      <w:lvlText w:val="%6.%7.%8.%9)"/>
      <w:lvlJc w:val="left"/>
      <w:pPr>
        <w:tabs>
          <w:tab w:val="num" w:pos="3930"/>
        </w:tabs>
        <w:ind w:left="3930" w:hanging="397"/>
      </w:pPr>
    </w:lvl>
  </w:abstractNum>
  <w:abstractNum w:abstractNumId="2" w15:restartNumberingAfterBreak="0">
    <w:nsid w:val="58950F11"/>
    <w:multiLevelType w:val="multilevel"/>
    <w:tmpl w:val="46105CA6"/>
    <w:lvl w:ilvl="0">
      <w:start w:val="1"/>
      <w:numFmt w:val="bullet"/>
      <w:lvlText w:val="-"/>
      <w:lvlJc w:val="left"/>
      <w:pPr>
        <w:tabs>
          <w:tab w:val="num" w:pos="283"/>
        </w:tabs>
        <w:ind w:left="283" w:hanging="283"/>
      </w:pPr>
      <w:rPr>
        <w:rFonts w:ascii="OpenSymbol" w:hAnsi="OpenSymbol" w:cs="OpenSymbol" w:hint="default"/>
        <w:sz w:val="22"/>
      </w:rPr>
    </w:lvl>
    <w:lvl w:ilvl="1">
      <w:start w:val="1"/>
      <w:numFmt w:val="bullet"/>
      <w:lvlText w:val=""/>
      <w:lvlJc w:val="left"/>
      <w:pPr>
        <w:tabs>
          <w:tab w:val="num" w:pos="567"/>
        </w:tabs>
        <w:ind w:left="567" w:hanging="284"/>
      </w:pPr>
      <w:rPr>
        <w:rFonts w:ascii="Symbol" w:hAnsi="Symbol" w:cs="Symbol" w:hint="default"/>
      </w:rPr>
    </w:lvl>
    <w:lvl w:ilvl="2">
      <w:start w:val="1"/>
      <w:numFmt w:val="bullet"/>
      <w:lvlText w:val=""/>
      <w:lvlJc w:val="left"/>
      <w:pPr>
        <w:tabs>
          <w:tab w:val="num" w:pos="567"/>
        </w:tabs>
        <w:ind w:left="567" w:hanging="284"/>
      </w:pPr>
      <w:rPr>
        <w:rFonts w:ascii="Symbol" w:hAnsi="Symbol" w:cs="Symbol" w:hint="default"/>
      </w:rPr>
    </w:lvl>
    <w:lvl w:ilvl="3">
      <w:start w:val="1"/>
      <w:numFmt w:val="bullet"/>
      <w:lvlText w:val=""/>
      <w:lvlJc w:val="left"/>
      <w:pPr>
        <w:tabs>
          <w:tab w:val="num" w:pos="680"/>
        </w:tabs>
        <w:ind w:left="680" w:hanging="170"/>
      </w:pPr>
      <w:rPr>
        <w:rFonts w:ascii="Symbol" w:hAnsi="Symbol" w:cs="Symbol" w:hint="default"/>
      </w:rPr>
    </w:lvl>
    <w:lvl w:ilvl="4">
      <w:start w:val="1"/>
      <w:numFmt w:val="bullet"/>
      <w:lvlText w:val=""/>
      <w:lvlJc w:val="left"/>
      <w:pPr>
        <w:tabs>
          <w:tab w:val="num" w:pos="850"/>
        </w:tabs>
        <w:ind w:left="850" w:hanging="170"/>
      </w:pPr>
      <w:rPr>
        <w:rFonts w:ascii="Symbol" w:hAnsi="Symbol" w:cs="Symbol" w:hint="default"/>
      </w:rPr>
    </w:lvl>
    <w:lvl w:ilvl="5">
      <w:start w:val="1"/>
      <w:numFmt w:val="bullet"/>
      <w:lvlText w:val=""/>
      <w:lvlJc w:val="left"/>
      <w:pPr>
        <w:tabs>
          <w:tab w:val="num" w:pos="1020"/>
        </w:tabs>
        <w:ind w:left="1020" w:hanging="170"/>
      </w:pPr>
      <w:rPr>
        <w:rFonts w:ascii="Symbol" w:hAnsi="Symbol" w:cs="Symbol" w:hint="default"/>
      </w:rPr>
    </w:lvl>
    <w:lvl w:ilvl="6">
      <w:start w:val="1"/>
      <w:numFmt w:val="bullet"/>
      <w:lvlText w:val=""/>
      <w:lvlJc w:val="left"/>
      <w:pPr>
        <w:tabs>
          <w:tab w:val="num" w:pos="1191"/>
        </w:tabs>
        <w:ind w:left="1191" w:hanging="170"/>
      </w:pPr>
      <w:rPr>
        <w:rFonts w:ascii="Symbol" w:hAnsi="Symbol" w:cs="Symbol" w:hint="default"/>
      </w:rPr>
    </w:lvl>
    <w:lvl w:ilvl="7">
      <w:start w:val="1"/>
      <w:numFmt w:val="bullet"/>
      <w:lvlText w:val=""/>
      <w:lvlJc w:val="left"/>
      <w:pPr>
        <w:tabs>
          <w:tab w:val="num" w:pos="1361"/>
        </w:tabs>
        <w:ind w:left="1361" w:hanging="170"/>
      </w:pPr>
      <w:rPr>
        <w:rFonts w:ascii="Symbol" w:hAnsi="Symbol" w:cs="Symbol" w:hint="default"/>
      </w:rPr>
    </w:lvl>
    <w:lvl w:ilvl="8">
      <w:start w:val="1"/>
      <w:numFmt w:val="bullet"/>
      <w:lvlText w:val=""/>
      <w:lvlJc w:val="left"/>
      <w:pPr>
        <w:tabs>
          <w:tab w:val="num" w:pos="1531"/>
        </w:tabs>
        <w:ind w:left="1531" w:hanging="170"/>
      </w:pPr>
      <w:rPr>
        <w:rFonts w:ascii="Symbol" w:hAnsi="Symbol" w:cs="Symbol" w:hint="default"/>
      </w:rPr>
    </w:lvl>
  </w:abstractNum>
  <w:abstractNum w:abstractNumId="3" w15:restartNumberingAfterBreak="0">
    <w:nsid w:val="76DB775D"/>
    <w:multiLevelType w:val="multilevel"/>
    <w:tmpl w:val="0FA2363E"/>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77AC4386"/>
    <w:multiLevelType w:val="multilevel"/>
    <w:tmpl w:val="78AE0AE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586575100">
    <w:abstractNumId w:val="0"/>
  </w:num>
  <w:num w:numId="2" w16cid:durableId="873276385">
    <w:abstractNumId w:val="1"/>
  </w:num>
  <w:num w:numId="3" w16cid:durableId="51512147">
    <w:abstractNumId w:val="2"/>
  </w:num>
  <w:num w:numId="4" w16cid:durableId="946883994">
    <w:abstractNumId w:val="3"/>
  </w:num>
  <w:num w:numId="5" w16cid:durableId="18219233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C04"/>
    <w:rsid w:val="00066978"/>
    <w:rsid w:val="00122B5A"/>
    <w:rsid w:val="00201C04"/>
    <w:rsid w:val="00290AC4"/>
    <w:rsid w:val="00410EBA"/>
    <w:rsid w:val="007C0C16"/>
    <w:rsid w:val="00DE0025"/>
    <w:rsid w:val="00E76BCA"/>
    <w:rsid w:val="00E957D8"/>
    <w:rsid w:val="00F0363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6FB51"/>
  <w15:docId w15:val="{61CEE8C6-618C-4BD4-A08B-BD7AB7384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Lucida Sans"/>
        <w:szCs w:val="24"/>
        <w:lang w:val="it-IT"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overflowPunct w:val="0"/>
      <w:jc w:val="both"/>
    </w:pPr>
    <w:rPr>
      <w:rFonts w:ascii="Times New Roman" w:eastAsia="Calibri" w:hAnsi="Times New Roman" w:cs="Times New Roman"/>
      <w:sz w:val="22"/>
      <w:szCs w:val="22"/>
      <w:lang w:bidi="ar-SA"/>
    </w:rPr>
  </w:style>
  <w:style w:type="paragraph" w:styleId="Titolo1">
    <w:name w:val="heading 1"/>
    <w:basedOn w:val="Normale"/>
    <w:next w:val="Normale"/>
    <w:uiPriority w:val="9"/>
    <w:qFormat/>
    <w:pPr>
      <w:keepNext/>
      <w:jc w:val="center"/>
      <w:outlineLvl w:val="0"/>
    </w:pPr>
    <w:rPr>
      <w:b/>
    </w:rPr>
  </w:style>
  <w:style w:type="paragraph" w:styleId="Titolo7">
    <w:name w:val="heading 7"/>
    <w:basedOn w:val="Normale"/>
    <w:next w:val="Normale"/>
    <w:qFormat/>
    <w:pPr>
      <w:keepNext/>
      <w:outlineLvl w:val="6"/>
    </w:pPr>
    <w:rPr>
      <w:b/>
      <w:sz w:val="32"/>
    </w:rPr>
  </w:style>
  <w:style w:type="paragraph" w:styleId="Titolo9">
    <w:name w:val="heading 9"/>
    <w:basedOn w:val="Normale"/>
    <w:next w:val="Normale"/>
    <w:qFormat/>
    <w:pPr>
      <w:keepNext/>
      <w:ind w:left="360"/>
      <w:jc w:val="right"/>
      <w:outlineLvl w:val="8"/>
    </w:pPr>
    <w:rPr>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fumettoCarattere">
    <w:name w:val="Testo fumetto Carattere"/>
    <w:qFormat/>
    <w:rPr>
      <w:rFonts w:ascii="Segoe UI" w:hAnsi="Segoe UI" w:cs="Segoe UI"/>
      <w:sz w:val="18"/>
      <w:szCs w:val="18"/>
    </w:rPr>
  </w:style>
  <w:style w:type="character" w:customStyle="1" w:styleId="Caratteridinumerazione">
    <w:name w:val="Caratteri di numerazione"/>
    <w:qFormat/>
  </w:style>
  <w:style w:type="character" w:customStyle="1" w:styleId="Predefinito12">
    <w:name w:val="Predefinito 12"/>
    <w:qFormat/>
    <w:rPr>
      <w:rFonts w:ascii="Times New Roman" w:hAnsi="Times New Roman"/>
    </w:rPr>
  </w:style>
  <w:style w:type="character" w:customStyle="1" w:styleId="List10Level0">
    <w:name w:val="List10Level0"/>
    <w:qFormat/>
    <w:rPr>
      <w:rFonts w:ascii="OpenSymbol" w:hAnsi="OpenSymbol"/>
    </w:rPr>
  </w:style>
  <w:style w:type="character" w:customStyle="1" w:styleId="List10Level1">
    <w:name w:val="List10Level1"/>
    <w:qFormat/>
    <w:rPr>
      <w:rFonts w:ascii="OpenSymbol" w:hAnsi="OpenSymbol"/>
    </w:rPr>
  </w:style>
  <w:style w:type="character" w:customStyle="1" w:styleId="List10Level2">
    <w:name w:val="List10Level2"/>
    <w:qFormat/>
    <w:rPr>
      <w:rFonts w:ascii="OpenSymbol" w:hAnsi="OpenSymbol"/>
    </w:rPr>
  </w:style>
  <w:style w:type="character" w:customStyle="1" w:styleId="List10Level3">
    <w:name w:val="List10Level3"/>
    <w:qFormat/>
    <w:rPr>
      <w:rFonts w:ascii="OpenSymbol" w:hAnsi="OpenSymbol"/>
    </w:rPr>
  </w:style>
  <w:style w:type="character" w:customStyle="1" w:styleId="List10Level4">
    <w:name w:val="List10Level4"/>
    <w:qFormat/>
    <w:rPr>
      <w:rFonts w:ascii="OpenSymbol" w:hAnsi="OpenSymbol"/>
    </w:rPr>
  </w:style>
  <w:style w:type="character" w:customStyle="1" w:styleId="List10Level5">
    <w:name w:val="List10Level5"/>
    <w:qFormat/>
    <w:rPr>
      <w:rFonts w:ascii="OpenSymbol" w:hAnsi="OpenSymbol"/>
    </w:rPr>
  </w:style>
  <w:style w:type="character" w:customStyle="1" w:styleId="List10Level6">
    <w:name w:val="List10Level6"/>
    <w:qFormat/>
    <w:rPr>
      <w:rFonts w:ascii="OpenSymbol" w:hAnsi="OpenSymbol"/>
    </w:rPr>
  </w:style>
  <w:style w:type="character" w:customStyle="1" w:styleId="List10Level7">
    <w:name w:val="List10Level7"/>
    <w:qFormat/>
    <w:rPr>
      <w:rFonts w:ascii="OpenSymbol" w:hAnsi="OpenSymbol"/>
    </w:rPr>
  </w:style>
  <w:style w:type="character" w:customStyle="1" w:styleId="List10Level8">
    <w:name w:val="List10Level8"/>
    <w:qFormat/>
    <w:rPr>
      <w:rFonts w:ascii="OpenSymbol" w:hAnsi="OpenSymbol"/>
    </w:rPr>
  </w:style>
  <w:style w:type="character" w:customStyle="1" w:styleId="Senzanome1">
    <w:name w:val="Senza nome1"/>
    <w:qFormat/>
    <w:rPr>
      <w:rFonts w:ascii="Times New Roman" w:hAnsi="Times New Roman"/>
      <w:sz w:val="22"/>
    </w:rPr>
  </w:style>
  <w:style w:type="character" w:customStyle="1" w:styleId="List5Level0">
    <w:name w:val="List5Level0"/>
    <w:qFormat/>
    <w:rPr>
      <w:rFonts w:ascii="OpenSymbol" w:hAnsi="OpenSymbol"/>
    </w:rPr>
  </w:style>
  <w:style w:type="character" w:customStyle="1" w:styleId="List5Level1">
    <w:name w:val="List5Level1"/>
    <w:qFormat/>
    <w:rPr>
      <w:rFonts w:ascii="OpenSymbol" w:hAnsi="OpenSymbol"/>
    </w:rPr>
  </w:style>
  <w:style w:type="character" w:customStyle="1" w:styleId="List5Level2">
    <w:name w:val="List5Level2"/>
    <w:qFormat/>
    <w:rPr>
      <w:rFonts w:ascii="OpenSymbol" w:hAnsi="OpenSymbol"/>
    </w:rPr>
  </w:style>
  <w:style w:type="character" w:customStyle="1" w:styleId="List5Level3">
    <w:name w:val="List5Level3"/>
    <w:qFormat/>
    <w:rPr>
      <w:rFonts w:ascii="OpenSymbol" w:hAnsi="OpenSymbol"/>
    </w:rPr>
  </w:style>
  <w:style w:type="character" w:customStyle="1" w:styleId="List5Level4">
    <w:name w:val="List5Level4"/>
    <w:qFormat/>
    <w:rPr>
      <w:rFonts w:ascii="OpenSymbol" w:hAnsi="OpenSymbol"/>
    </w:rPr>
  </w:style>
  <w:style w:type="character" w:customStyle="1" w:styleId="List5Level5">
    <w:name w:val="List5Level5"/>
    <w:qFormat/>
    <w:rPr>
      <w:rFonts w:ascii="OpenSymbol" w:hAnsi="OpenSymbol"/>
    </w:rPr>
  </w:style>
  <w:style w:type="character" w:customStyle="1" w:styleId="List5Level6">
    <w:name w:val="List5Level6"/>
    <w:qFormat/>
    <w:rPr>
      <w:rFonts w:ascii="OpenSymbol" w:hAnsi="OpenSymbol"/>
    </w:rPr>
  </w:style>
  <w:style w:type="character" w:customStyle="1" w:styleId="List5Level7">
    <w:name w:val="List5Level7"/>
    <w:qFormat/>
    <w:rPr>
      <w:rFonts w:ascii="OpenSymbol" w:hAnsi="OpenSymbol"/>
    </w:rPr>
  </w:style>
  <w:style w:type="character" w:customStyle="1" w:styleId="List5Level8">
    <w:name w:val="List5Level8"/>
    <w:qFormat/>
    <w:rPr>
      <w:rFonts w:ascii="OpenSymbol" w:hAnsi="OpenSymbol"/>
    </w:rPr>
  </w:style>
  <w:style w:type="character" w:customStyle="1" w:styleId="Punti">
    <w:name w:val="Punti"/>
    <w:qFormat/>
    <w:rPr>
      <w:rFonts w:ascii="OpenSymbol" w:eastAsia="OpenSymbol" w:hAnsi="OpenSymbol" w:cs="OpenSymbol"/>
    </w:rPr>
  </w:style>
  <w:style w:type="paragraph" w:styleId="Titolo">
    <w:name w:val="Title"/>
    <w:basedOn w:val="Normale"/>
    <w:next w:val="Corpotesto"/>
    <w:uiPriority w:val="10"/>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88"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customStyle="1" w:styleId="Default">
    <w:name w:val="Default"/>
    <w:qFormat/>
    <w:pPr>
      <w:suppressAutoHyphens/>
      <w:overflowPunct w:val="0"/>
    </w:pPr>
    <w:rPr>
      <w:rFonts w:ascii="Arial" w:hAnsi="Arial" w:cs="Arial"/>
      <w:color w:val="000000"/>
      <w:sz w:val="24"/>
      <w:lang w:eastAsia="it-IT"/>
    </w:rPr>
  </w:style>
  <w:style w:type="paragraph" w:styleId="Testofumetto">
    <w:name w:val="Balloon Text"/>
    <w:basedOn w:val="Normale"/>
    <w:qFormat/>
    <w:rPr>
      <w:rFonts w:ascii="Segoe UI" w:hAnsi="Segoe UI" w:cs="Segoe UI"/>
      <w:sz w:val="18"/>
      <w:szCs w:val="18"/>
    </w:rPr>
  </w:style>
  <w:style w:type="paragraph" w:styleId="NormaleWeb">
    <w:name w:val="Normal (Web)"/>
    <w:basedOn w:val="Normale"/>
    <w:uiPriority w:val="99"/>
    <w:qFormat/>
    <w:pPr>
      <w:spacing w:before="280" w:after="280"/>
    </w:pPr>
    <w:rPr>
      <w:sz w:val="24"/>
      <w:szCs w:val="24"/>
    </w:rPr>
  </w:style>
  <w:style w:type="paragraph" w:customStyle="1" w:styleId="Intestazioneepidipagina">
    <w:name w:val="Intestazione e piè di pagina"/>
    <w:basedOn w:val="Normale"/>
    <w:qFormat/>
    <w:pPr>
      <w:suppressLineNumbers/>
      <w:tabs>
        <w:tab w:val="center" w:pos="4819"/>
        <w:tab w:val="right" w:pos="9638"/>
      </w:tabs>
    </w:pPr>
  </w:style>
  <w:style w:type="paragraph" w:styleId="Intestazione">
    <w:name w:val="header"/>
    <w:basedOn w:val="Normale"/>
    <w:pPr>
      <w:suppressLineNumbers/>
      <w:tabs>
        <w:tab w:val="center" w:pos="4819"/>
        <w:tab w:val="right" w:pos="9638"/>
      </w:tabs>
    </w:pPr>
  </w:style>
  <w:style w:type="paragraph" w:styleId="Pidipagina">
    <w:name w:val="footer"/>
    <w:basedOn w:val="Normale"/>
    <w:pPr>
      <w:suppressLineNumbers/>
      <w:tabs>
        <w:tab w:val="center" w:pos="4819"/>
        <w:tab w:val="right" w:pos="9638"/>
      </w:tabs>
    </w:pPr>
  </w:style>
  <w:style w:type="paragraph" w:styleId="Sottotitolo">
    <w:name w:val="Subtitle"/>
    <w:basedOn w:val="Titolo"/>
    <w:next w:val="Corpotesto"/>
    <w:uiPriority w:val="11"/>
    <w:qFormat/>
    <w:pPr>
      <w:spacing w:before="60"/>
      <w:jc w:val="center"/>
    </w:pPr>
    <w:rPr>
      <w:sz w:val="36"/>
      <w:szCs w:val="36"/>
    </w:rPr>
  </w:style>
  <w:style w:type="paragraph" w:customStyle="1" w:styleId="Senzanome10">
    <w:name w:val="Senza nome1"/>
    <w:basedOn w:val="Normale"/>
    <w:qFormat/>
  </w:style>
  <w:style w:type="numbering" w:customStyle="1" w:styleId="Numerazione123">
    <w:name w:val="Numerazione 123"/>
    <w:qFormat/>
  </w:style>
  <w:style w:type="numbering" w:customStyle="1" w:styleId="NumerazioneABC">
    <w:name w:val="Numerazione ABC"/>
    <w:qFormat/>
  </w:style>
  <w:style w:type="numbering" w:customStyle="1" w:styleId="Numerazioneabc0">
    <w:name w:val="Numerazione abc"/>
    <w:qFormat/>
  </w:style>
  <w:style w:type="numbering" w:customStyle="1" w:styleId="Punto">
    <w:name w:val="Punto •"/>
    <w:qFormat/>
  </w:style>
  <w:style w:type="numbering" w:customStyle="1" w:styleId="Punto0">
    <w:name w:val="Punto –"/>
    <w:qFormat/>
  </w:style>
  <w:style w:type="numbering" w:customStyle="1" w:styleId="WW8Num2">
    <w:name w:val="WW8Num2"/>
    <w:qFormat/>
  </w:style>
  <w:style w:type="numbering" w:customStyle="1" w:styleId="LS10">
    <w:name w:val="LS10"/>
    <w:qFormat/>
  </w:style>
  <w:style w:type="numbering" w:customStyle="1" w:styleId="LS5">
    <w:name w:val="LS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414354">
      <w:bodyDiv w:val="1"/>
      <w:marLeft w:val="0"/>
      <w:marRight w:val="0"/>
      <w:marTop w:val="0"/>
      <w:marBottom w:val="0"/>
      <w:divBdr>
        <w:top w:val="none" w:sz="0" w:space="0" w:color="auto"/>
        <w:left w:val="none" w:sz="0" w:space="0" w:color="auto"/>
        <w:bottom w:val="none" w:sz="0" w:space="0" w:color="auto"/>
        <w:right w:val="none" w:sz="0" w:space="0" w:color="auto"/>
      </w:divBdr>
    </w:div>
    <w:div w:id="1050769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1928</Words>
  <Characters>10993</Characters>
  <Application>Microsoft Office Word</Application>
  <DocSecurity>0</DocSecurity>
  <Lines>91</Lines>
  <Paragraphs>25</Paragraphs>
  <ScaleCrop>false</ScaleCrop>
  <Company/>
  <LinksUpToDate>false</LinksUpToDate>
  <CharactersWithSpaces>12896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ANAGRAFE</dc:creator>
  <dc:description/>
  <cp:lastModifiedBy>Nicholas Padalino</cp:lastModifiedBy>
  <cp:revision>2</cp:revision>
  <cp:lastPrinted>2023-08-02T15:46:00Z</cp:lastPrinted>
  <dcterms:created xsi:type="dcterms:W3CDTF">2025-07-23T10:50:00Z</dcterms:created>
  <dcterms:modified xsi:type="dcterms:W3CDTF">2025-07-23T10:50:00Z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